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AC77" w14:textId="77777777" w:rsidR="00E704D0" w:rsidRDefault="00E704D0" w:rsidP="00402F0C">
      <w:pPr>
        <w:pStyle w:val="Heading1"/>
        <w:ind w:left="0"/>
      </w:pPr>
    </w:p>
    <w:p w14:paraId="48DB31C0" w14:textId="77777777" w:rsidR="00E704D0" w:rsidRDefault="00E704D0" w:rsidP="00402F0C">
      <w:pPr>
        <w:pStyle w:val="Heading1"/>
        <w:ind w:left="0"/>
      </w:pPr>
    </w:p>
    <w:p w14:paraId="3FF14E32" w14:textId="77777777" w:rsidR="00E704D0" w:rsidRDefault="00E704D0" w:rsidP="00402F0C">
      <w:pPr>
        <w:pStyle w:val="Heading1"/>
        <w:ind w:left="0"/>
      </w:pPr>
    </w:p>
    <w:p w14:paraId="0450A53F" w14:textId="77777777" w:rsidR="00E704D0" w:rsidRDefault="00E704D0" w:rsidP="00402F0C">
      <w:pPr>
        <w:pStyle w:val="Heading1"/>
        <w:ind w:left="0"/>
      </w:pPr>
    </w:p>
    <w:p w14:paraId="41CEB768" w14:textId="77777777" w:rsidR="00E704D0" w:rsidRDefault="00E704D0" w:rsidP="00402F0C">
      <w:pPr>
        <w:pStyle w:val="Heading1"/>
        <w:ind w:left="0"/>
      </w:pPr>
    </w:p>
    <w:p w14:paraId="01727C79" w14:textId="24E0093A" w:rsidR="0098429A" w:rsidRDefault="0098429A" w:rsidP="00E704D0">
      <w:pPr>
        <w:pStyle w:val="Heading1"/>
        <w:ind w:left="0"/>
        <w:jc w:val="center"/>
      </w:pPr>
      <w:r>
        <w:t>Limited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 w:rsidR="008C4267">
        <w:t>Philosophy</w:t>
      </w:r>
    </w:p>
    <w:p w14:paraId="201DE914" w14:textId="77777777" w:rsidR="0098429A" w:rsidRDefault="0098429A" w:rsidP="0098429A">
      <w:pPr>
        <w:pStyle w:val="BodyText"/>
        <w:rPr>
          <w:b/>
        </w:rPr>
      </w:pPr>
    </w:p>
    <w:p w14:paraId="237F8BA3" w14:textId="7A65F0F5" w:rsidR="0098429A" w:rsidRPr="00402F0C" w:rsidRDefault="0098429A" w:rsidP="00402F0C">
      <w:pPr>
        <w:pStyle w:val="BodyText"/>
      </w:pPr>
      <w:r w:rsidRPr="00402F0C">
        <w:t xml:space="preserve">The </w:t>
      </w:r>
      <w:r w:rsidRPr="00402F0C">
        <w:rPr>
          <w:b/>
          <w:bCs/>
        </w:rPr>
        <w:t>Department of Philos</w:t>
      </w:r>
      <w:r w:rsidR="00E75F9D">
        <w:rPr>
          <w:b/>
          <w:bCs/>
        </w:rPr>
        <w:t>o</w:t>
      </w:r>
      <w:r w:rsidRPr="00402F0C">
        <w:rPr>
          <w:b/>
          <w:bCs/>
        </w:rPr>
        <w:t>phy</w:t>
      </w:r>
      <w:r w:rsidRPr="00402F0C">
        <w:t xml:space="preserve"> at Trent University Durham</w:t>
      </w:r>
      <w:r w:rsidR="00C92BCA">
        <w:t>-</w:t>
      </w:r>
      <w:r w:rsidRPr="00402F0C">
        <w:t>GTA invites applications for a</w:t>
      </w:r>
      <w:r w:rsidR="00A572B0">
        <w:t xml:space="preserve"> </w:t>
      </w:r>
      <w:r w:rsidRPr="00402F0C">
        <w:t>limited term appointment</w:t>
      </w:r>
      <w:r w:rsidR="008C4267" w:rsidRPr="00402F0C">
        <w:t xml:space="preserve"> (LTA)</w:t>
      </w:r>
      <w:r w:rsidRPr="00402F0C">
        <w:t xml:space="preserve"> at the rank of Assistant Professor.</w:t>
      </w:r>
      <w:r w:rsidRPr="00402F0C">
        <w:rPr>
          <w:spacing w:val="-3"/>
        </w:rPr>
        <w:t xml:space="preserve"> </w:t>
      </w:r>
      <w:r w:rsidRPr="00402F0C">
        <w:t>The</w:t>
      </w:r>
      <w:r w:rsidRPr="00402F0C">
        <w:rPr>
          <w:spacing w:val="-4"/>
        </w:rPr>
        <w:t xml:space="preserve"> </w:t>
      </w:r>
      <w:r w:rsidRPr="00402F0C">
        <w:t>appointment</w:t>
      </w:r>
      <w:r w:rsidRPr="00402F0C">
        <w:rPr>
          <w:spacing w:val="-4"/>
        </w:rPr>
        <w:t xml:space="preserve"> </w:t>
      </w:r>
      <w:r w:rsidRPr="00402F0C">
        <w:t>commences</w:t>
      </w:r>
      <w:r w:rsidRPr="00402F0C">
        <w:rPr>
          <w:spacing w:val="-4"/>
        </w:rPr>
        <w:t xml:space="preserve"> </w:t>
      </w:r>
      <w:r w:rsidRPr="00402F0C">
        <w:t>January</w:t>
      </w:r>
      <w:r w:rsidRPr="00402F0C">
        <w:rPr>
          <w:spacing w:val="-3"/>
        </w:rPr>
        <w:t xml:space="preserve"> </w:t>
      </w:r>
      <w:r w:rsidRPr="00402F0C">
        <w:t>1</w:t>
      </w:r>
      <w:r w:rsidRPr="00402F0C">
        <w:rPr>
          <w:vertAlign w:val="superscript"/>
        </w:rPr>
        <w:t>st</w:t>
      </w:r>
      <w:r w:rsidRPr="00402F0C">
        <w:t>,</w:t>
      </w:r>
      <w:r w:rsidRPr="00402F0C">
        <w:rPr>
          <w:spacing w:val="-3"/>
        </w:rPr>
        <w:t xml:space="preserve"> </w:t>
      </w:r>
      <w:proofErr w:type="gramStart"/>
      <w:r w:rsidRPr="00402F0C">
        <w:t>202</w:t>
      </w:r>
      <w:r w:rsidR="00EE5F81" w:rsidRPr="00402F0C">
        <w:t>5</w:t>
      </w:r>
      <w:proofErr w:type="gramEnd"/>
      <w:r w:rsidR="008C4267" w:rsidRPr="00402F0C">
        <w:t xml:space="preserve"> and ends August</w:t>
      </w:r>
      <w:r w:rsidR="009F1D9E">
        <w:t xml:space="preserve"> </w:t>
      </w:r>
      <w:r w:rsidR="00B961B7">
        <w:t>1</w:t>
      </w:r>
      <w:r w:rsidR="006F1E67">
        <w:t>5</w:t>
      </w:r>
      <w:r w:rsidR="00B961B7" w:rsidRPr="00B961B7">
        <w:rPr>
          <w:vertAlign w:val="superscript"/>
        </w:rPr>
        <w:t>th</w:t>
      </w:r>
      <w:r w:rsidR="008C4267" w:rsidRPr="00402F0C">
        <w:t>, 2026</w:t>
      </w:r>
      <w:r w:rsidRPr="00402F0C">
        <w:t>.</w:t>
      </w:r>
      <w:r w:rsidRPr="00402F0C">
        <w:rPr>
          <w:spacing w:val="-3"/>
        </w:rPr>
        <w:t xml:space="preserve"> </w:t>
      </w:r>
      <w:r w:rsidRPr="00402F0C">
        <w:t>Please</w:t>
      </w:r>
      <w:r w:rsidRPr="00402F0C">
        <w:rPr>
          <w:spacing w:val="-2"/>
        </w:rPr>
        <w:t xml:space="preserve"> </w:t>
      </w:r>
      <w:r w:rsidRPr="00402F0C">
        <w:t>note</w:t>
      </w:r>
      <w:r w:rsidRPr="00402F0C">
        <w:rPr>
          <w:spacing w:val="-2"/>
        </w:rPr>
        <w:t xml:space="preserve"> </w:t>
      </w:r>
      <w:r w:rsidRPr="00402F0C">
        <w:t>that</w:t>
      </w:r>
      <w:r w:rsidRPr="00402F0C">
        <w:rPr>
          <w:spacing w:val="-1"/>
        </w:rPr>
        <w:t xml:space="preserve"> </w:t>
      </w:r>
      <w:r w:rsidRPr="00402F0C">
        <w:t>this</w:t>
      </w:r>
      <w:r w:rsidRPr="00402F0C">
        <w:rPr>
          <w:spacing w:val="-1"/>
        </w:rPr>
        <w:t xml:space="preserve"> </w:t>
      </w:r>
      <w:r w:rsidRPr="00402F0C">
        <w:t>position</w:t>
      </w:r>
      <w:r w:rsidRPr="00402F0C">
        <w:rPr>
          <w:spacing w:val="-1"/>
        </w:rPr>
        <w:t xml:space="preserve"> </w:t>
      </w:r>
      <w:r w:rsidRPr="00402F0C">
        <w:t>is</w:t>
      </w:r>
      <w:r w:rsidRPr="00402F0C">
        <w:rPr>
          <w:spacing w:val="-1"/>
        </w:rPr>
        <w:t xml:space="preserve"> </w:t>
      </w:r>
      <w:r w:rsidRPr="00402F0C">
        <w:t>subject</w:t>
      </w:r>
      <w:r w:rsidRPr="00402F0C">
        <w:rPr>
          <w:spacing w:val="-1"/>
        </w:rPr>
        <w:t xml:space="preserve"> </w:t>
      </w:r>
      <w:r w:rsidRPr="00402F0C">
        <w:t>to</w:t>
      </w:r>
      <w:r w:rsidRPr="00402F0C">
        <w:rPr>
          <w:spacing w:val="-1"/>
        </w:rPr>
        <w:t xml:space="preserve"> </w:t>
      </w:r>
      <w:r w:rsidRPr="00402F0C">
        <w:t>budgetary</w:t>
      </w:r>
      <w:r w:rsidRPr="00402F0C">
        <w:rPr>
          <w:spacing w:val="-1"/>
        </w:rPr>
        <w:t xml:space="preserve"> </w:t>
      </w:r>
      <w:r w:rsidRPr="00402F0C">
        <w:rPr>
          <w:spacing w:val="-2"/>
        </w:rPr>
        <w:t>approval.</w:t>
      </w:r>
    </w:p>
    <w:p w14:paraId="2AC7C251" w14:textId="77777777" w:rsidR="00617141" w:rsidRPr="00402F0C" w:rsidRDefault="00617141" w:rsidP="00617141">
      <w:pPr>
        <w:pStyle w:val="BodyText"/>
        <w:ind w:left="104"/>
      </w:pPr>
    </w:p>
    <w:p w14:paraId="4BFDB628" w14:textId="1B8808FF" w:rsidR="00402F0C" w:rsidRPr="00402F0C" w:rsidRDefault="00402F0C" w:rsidP="00402F0C">
      <w:pPr>
        <w:rPr>
          <w:sz w:val="24"/>
          <w:szCs w:val="24"/>
        </w:rPr>
      </w:pPr>
      <w:r w:rsidRPr="00402F0C">
        <w:rPr>
          <w:sz w:val="24"/>
          <w:szCs w:val="24"/>
        </w:rPr>
        <w:t xml:space="preserve">Candidates are expected to have completed a Ph.D. in Philosophy. While the area is open, preference will be given to applicants with </w:t>
      </w:r>
      <w:r w:rsidR="00DB2B8C">
        <w:rPr>
          <w:sz w:val="24"/>
          <w:szCs w:val="24"/>
        </w:rPr>
        <w:t>teaching experience and/or an</w:t>
      </w:r>
      <w:r w:rsidRPr="00402F0C">
        <w:rPr>
          <w:sz w:val="24"/>
          <w:szCs w:val="24"/>
        </w:rPr>
        <w:t xml:space="preserve"> active research program in</w:t>
      </w:r>
      <w:r w:rsidR="00081B3C">
        <w:rPr>
          <w:sz w:val="24"/>
          <w:szCs w:val="24"/>
        </w:rPr>
        <w:t xml:space="preserve"> the areas of</w:t>
      </w:r>
      <w:r w:rsidRPr="00402F0C">
        <w:rPr>
          <w:sz w:val="24"/>
          <w:szCs w:val="24"/>
        </w:rPr>
        <w:t xml:space="preserve"> </w:t>
      </w:r>
      <w:r w:rsidR="00DB2B8C">
        <w:rPr>
          <w:sz w:val="24"/>
          <w:szCs w:val="24"/>
        </w:rPr>
        <w:t xml:space="preserve">history of </w:t>
      </w:r>
      <w:r w:rsidR="00081B3C">
        <w:rPr>
          <w:sz w:val="24"/>
          <w:szCs w:val="24"/>
        </w:rPr>
        <w:t>p</w:t>
      </w:r>
      <w:r w:rsidR="00DB2B8C">
        <w:rPr>
          <w:sz w:val="24"/>
          <w:szCs w:val="24"/>
        </w:rPr>
        <w:t xml:space="preserve">hilosophy and/or ethics. </w:t>
      </w:r>
      <w:r w:rsidRPr="00402F0C">
        <w:rPr>
          <w:sz w:val="24"/>
          <w:szCs w:val="24"/>
        </w:rPr>
        <w:t>All applicants must demonstrate excellence in teaching at the undergraduate level. The successful candidate will teac</w:t>
      </w:r>
      <w:r w:rsidR="00F31849">
        <w:rPr>
          <w:sz w:val="24"/>
          <w:szCs w:val="24"/>
        </w:rPr>
        <w:t>h</w:t>
      </w:r>
      <w:r w:rsidR="00F31849" w:rsidRPr="00402F0C">
        <w:rPr>
          <w:sz w:val="24"/>
          <w:szCs w:val="24"/>
        </w:rPr>
        <w:t xml:space="preserve"> </w:t>
      </w:r>
      <w:r w:rsidRPr="00402F0C">
        <w:rPr>
          <w:sz w:val="24"/>
          <w:szCs w:val="24"/>
        </w:rPr>
        <w:t>three</w:t>
      </w:r>
      <w:r w:rsidR="00F31849">
        <w:rPr>
          <w:sz w:val="24"/>
          <w:szCs w:val="24"/>
        </w:rPr>
        <w:t xml:space="preserve"> half-credit courses</w:t>
      </w:r>
      <w:r w:rsidRPr="00402F0C">
        <w:rPr>
          <w:sz w:val="24"/>
          <w:szCs w:val="24"/>
        </w:rPr>
        <w:t xml:space="preserve"> </w:t>
      </w:r>
      <w:r w:rsidR="005B63BE">
        <w:rPr>
          <w:sz w:val="24"/>
          <w:szCs w:val="24"/>
        </w:rPr>
        <w:t xml:space="preserve">in </w:t>
      </w:r>
      <w:r w:rsidR="00F31849">
        <w:rPr>
          <w:sz w:val="24"/>
          <w:szCs w:val="24"/>
        </w:rPr>
        <w:t>each of</w:t>
      </w:r>
      <w:r w:rsidRPr="00402F0C">
        <w:rPr>
          <w:sz w:val="24"/>
          <w:szCs w:val="24"/>
        </w:rPr>
        <w:t xml:space="preserve"> the fall</w:t>
      </w:r>
      <w:r w:rsidR="00F31849">
        <w:rPr>
          <w:sz w:val="24"/>
          <w:szCs w:val="24"/>
        </w:rPr>
        <w:t xml:space="preserve"> and winter</w:t>
      </w:r>
      <w:r w:rsidRPr="00402F0C">
        <w:rPr>
          <w:sz w:val="24"/>
          <w:szCs w:val="24"/>
        </w:rPr>
        <w:t xml:space="preserve"> semester</w:t>
      </w:r>
      <w:r w:rsidR="00F31849">
        <w:rPr>
          <w:sz w:val="24"/>
          <w:szCs w:val="24"/>
        </w:rPr>
        <w:t>s during the contract</w:t>
      </w:r>
      <w:r w:rsidRPr="00402F0C">
        <w:rPr>
          <w:sz w:val="24"/>
          <w:szCs w:val="24"/>
        </w:rPr>
        <w:t>,</w:t>
      </w:r>
      <w:r w:rsidR="00F31849">
        <w:rPr>
          <w:sz w:val="24"/>
          <w:szCs w:val="24"/>
        </w:rPr>
        <w:t xml:space="preserve"> as well as one half-credit course in the summer. </w:t>
      </w:r>
      <w:r w:rsidR="0094154B">
        <w:rPr>
          <w:sz w:val="24"/>
          <w:szCs w:val="24"/>
        </w:rPr>
        <w:t xml:space="preserve">In addition to </w:t>
      </w:r>
      <w:r w:rsidR="00217796">
        <w:rPr>
          <w:sz w:val="24"/>
          <w:szCs w:val="24"/>
        </w:rPr>
        <w:t>a</w:t>
      </w:r>
      <w:r w:rsidR="0094154B">
        <w:rPr>
          <w:sz w:val="24"/>
          <w:szCs w:val="24"/>
        </w:rPr>
        <w:t xml:space="preserve"> fourth-year course in either the fall or winter semester of academic year 2025-26, t</w:t>
      </w:r>
      <w:r w:rsidR="00DB2B8C">
        <w:rPr>
          <w:sz w:val="24"/>
          <w:szCs w:val="24"/>
        </w:rPr>
        <w:t>he successful candidate will teach a selection of the following courses</w:t>
      </w:r>
      <w:r w:rsidR="00587D79">
        <w:rPr>
          <w:sz w:val="24"/>
          <w:szCs w:val="24"/>
        </w:rPr>
        <w:t xml:space="preserve"> in accordance with their teaching and research experience</w:t>
      </w:r>
      <w:r w:rsidR="00DB2B8C">
        <w:rPr>
          <w:sz w:val="24"/>
          <w:szCs w:val="24"/>
        </w:rPr>
        <w:t>:</w:t>
      </w:r>
    </w:p>
    <w:p w14:paraId="000A833A" w14:textId="77777777" w:rsidR="00DD7188" w:rsidRDefault="00DD7188" w:rsidP="00402F0C">
      <w:pPr>
        <w:rPr>
          <w:i/>
          <w:iCs/>
          <w:sz w:val="24"/>
          <w:szCs w:val="24"/>
        </w:rPr>
      </w:pPr>
    </w:p>
    <w:p w14:paraId="30C31AAA" w14:textId="3D67FA89" w:rsidR="00402F0C" w:rsidRDefault="00402F0C" w:rsidP="00402F0C">
      <w:pPr>
        <w:rPr>
          <w:sz w:val="24"/>
          <w:szCs w:val="24"/>
        </w:rPr>
      </w:pPr>
      <w:r w:rsidRPr="00402F0C">
        <w:rPr>
          <w:sz w:val="24"/>
          <w:szCs w:val="24"/>
        </w:rPr>
        <w:tab/>
        <w:t>PHIL 1100H: Introduction to Philosophy</w:t>
      </w:r>
      <w:r w:rsidR="00DD7188">
        <w:rPr>
          <w:sz w:val="24"/>
          <w:szCs w:val="24"/>
        </w:rPr>
        <w:t>: Moral and Political</w:t>
      </w:r>
    </w:p>
    <w:p w14:paraId="1989AF5A" w14:textId="6BF24807" w:rsidR="009A624A" w:rsidRDefault="009A624A" w:rsidP="00402F0C">
      <w:pPr>
        <w:rPr>
          <w:sz w:val="24"/>
          <w:szCs w:val="24"/>
        </w:rPr>
      </w:pPr>
      <w:r>
        <w:rPr>
          <w:sz w:val="24"/>
          <w:szCs w:val="24"/>
        </w:rPr>
        <w:tab/>
        <w:t>PHIL 2010H: Love and Desire</w:t>
      </w:r>
    </w:p>
    <w:p w14:paraId="6BBFEF41" w14:textId="6AFDEA22" w:rsidR="00DD7188" w:rsidRDefault="00DD7188" w:rsidP="00402F0C">
      <w:pPr>
        <w:rPr>
          <w:sz w:val="24"/>
          <w:szCs w:val="24"/>
        </w:rPr>
      </w:pPr>
      <w:r>
        <w:rPr>
          <w:sz w:val="24"/>
          <w:szCs w:val="24"/>
        </w:rPr>
        <w:tab/>
        <w:t>PHIL 2110H: Moral Issues</w:t>
      </w:r>
    </w:p>
    <w:p w14:paraId="7FED4BC8" w14:textId="30F9C0B6" w:rsidR="00720DF8" w:rsidRDefault="00720DF8" w:rsidP="00402F0C">
      <w:pPr>
        <w:rPr>
          <w:sz w:val="24"/>
          <w:szCs w:val="24"/>
        </w:rPr>
      </w:pPr>
      <w:r>
        <w:rPr>
          <w:sz w:val="24"/>
          <w:szCs w:val="24"/>
        </w:rPr>
        <w:tab/>
        <w:t>PHIL 2150H: Philosophy of Law</w:t>
      </w:r>
    </w:p>
    <w:p w14:paraId="67784968" w14:textId="05130CED" w:rsidR="00065FFF" w:rsidRDefault="00065FFF" w:rsidP="00402F0C">
      <w:pPr>
        <w:rPr>
          <w:sz w:val="24"/>
          <w:szCs w:val="24"/>
        </w:rPr>
      </w:pPr>
      <w:r>
        <w:rPr>
          <w:sz w:val="24"/>
          <w:szCs w:val="24"/>
        </w:rPr>
        <w:tab/>
        <w:t>PHIL 2030H: Death</w:t>
      </w:r>
    </w:p>
    <w:p w14:paraId="2C35B8FD" w14:textId="2A9CB38D" w:rsidR="00DD7188" w:rsidRDefault="00DD7188" w:rsidP="00402F0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20DF8">
        <w:rPr>
          <w:sz w:val="24"/>
          <w:szCs w:val="24"/>
        </w:rPr>
        <w:t>PHIL 2420H: Ancient Philosophy I</w:t>
      </w:r>
    </w:p>
    <w:p w14:paraId="2F3E6682" w14:textId="5E67CEEC" w:rsidR="00720DF8" w:rsidRDefault="00720DF8" w:rsidP="00402F0C">
      <w:pPr>
        <w:rPr>
          <w:sz w:val="24"/>
          <w:szCs w:val="24"/>
        </w:rPr>
      </w:pPr>
      <w:r>
        <w:rPr>
          <w:sz w:val="24"/>
          <w:szCs w:val="24"/>
        </w:rPr>
        <w:tab/>
        <w:t>PHIL 2430H: Ancient Philosophy II</w:t>
      </w:r>
    </w:p>
    <w:p w14:paraId="5CC79CA2" w14:textId="1E49E73A" w:rsidR="009A624A" w:rsidRPr="00402F0C" w:rsidRDefault="009A624A" w:rsidP="00402F0C">
      <w:pPr>
        <w:rPr>
          <w:sz w:val="24"/>
          <w:szCs w:val="24"/>
        </w:rPr>
      </w:pPr>
      <w:r>
        <w:rPr>
          <w:sz w:val="24"/>
          <w:szCs w:val="24"/>
        </w:rPr>
        <w:tab/>
        <w:t>PHIL 3020H: Philosophy of Emotion</w:t>
      </w:r>
    </w:p>
    <w:p w14:paraId="61955252" w14:textId="25400EEA" w:rsidR="00402F0C" w:rsidRDefault="00402F0C" w:rsidP="00402F0C">
      <w:pPr>
        <w:ind w:firstLine="720"/>
        <w:rPr>
          <w:sz w:val="24"/>
          <w:szCs w:val="24"/>
        </w:rPr>
      </w:pPr>
      <w:r w:rsidRPr="00402F0C">
        <w:rPr>
          <w:sz w:val="24"/>
          <w:szCs w:val="24"/>
        </w:rPr>
        <w:t>PHIL 3</w:t>
      </w:r>
      <w:r w:rsidR="00720DF8">
        <w:rPr>
          <w:sz w:val="24"/>
          <w:szCs w:val="24"/>
        </w:rPr>
        <w:t>4</w:t>
      </w:r>
      <w:r w:rsidRPr="00402F0C">
        <w:rPr>
          <w:sz w:val="24"/>
          <w:szCs w:val="24"/>
        </w:rPr>
        <w:t xml:space="preserve">20H: </w:t>
      </w:r>
      <w:r w:rsidR="00720DF8">
        <w:rPr>
          <w:sz w:val="24"/>
          <w:szCs w:val="24"/>
        </w:rPr>
        <w:t>Early Modern I</w:t>
      </w:r>
    </w:p>
    <w:p w14:paraId="11463549" w14:textId="3AFADCA9" w:rsidR="00720DF8" w:rsidRPr="00402F0C" w:rsidRDefault="00720DF8" w:rsidP="00402F0C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PHIL 3430H: Early Modern II</w:t>
      </w:r>
    </w:p>
    <w:p w14:paraId="2DC318B7" w14:textId="79F112FB" w:rsidR="00AB2D0E" w:rsidRDefault="00720DF8" w:rsidP="00AB2D0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PHIL 3370H: </w:t>
      </w:r>
      <w:proofErr w:type="spellStart"/>
      <w:r>
        <w:rPr>
          <w:sz w:val="24"/>
          <w:szCs w:val="24"/>
        </w:rPr>
        <w:t>Cyberethics</w:t>
      </w:r>
      <w:proofErr w:type="spellEnd"/>
    </w:p>
    <w:p w14:paraId="66E782CE" w14:textId="77777777" w:rsidR="004E30E7" w:rsidRPr="00402F0C" w:rsidRDefault="004E30E7" w:rsidP="00402F0C">
      <w:pPr>
        <w:ind w:firstLine="720"/>
        <w:rPr>
          <w:sz w:val="24"/>
          <w:szCs w:val="24"/>
        </w:rPr>
      </w:pPr>
    </w:p>
    <w:p w14:paraId="33F7C54B" w14:textId="298E4437" w:rsidR="00D60515" w:rsidRDefault="00D60515" w:rsidP="0052016A">
      <w:pPr>
        <w:pStyle w:val="BodyText"/>
        <w:ind w:right="157"/>
      </w:pPr>
      <w:r>
        <w:t>Trent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top-ranked</w:t>
      </w:r>
      <w:r>
        <w:rPr>
          <w:spacing w:val="-1"/>
        </w:rPr>
        <w:t xml:space="preserve"> </w:t>
      </w:r>
      <w:r>
        <w:t>primarily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Ontario,</w:t>
      </w:r>
      <w:r>
        <w:rPr>
          <w:spacing w:val="-1"/>
        </w:rPr>
        <w:t xml:space="preserve"> </w:t>
      </w:r>
      <w:r>
        <w:t>Canada 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research.</w:t>
      </w:r>
      <w:r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Toronto Area,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Oshawa,</w:t>
      </w:r>
      <w:r>
        <w:rPr>
          <w:spacing w:val="-3"/>
        </w:rPr>
        <w:t xml:space="preserve"> </w:t>
      </w:r>
      <w:r>
        <w:t>Trent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Durham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 the perfect blend of urban life and a closely knit-campus community.</w:t>
      </w:r>
    </w:p>
    <w:p w14:paraId="3C660A52" w14:textId="77777777" w:rsidR="00D60515" w:rsidRDefault="00D60515" w:rsidP="00D60515">
      <w:pPr>
        <w:pStyle w:val="BodyText"/>
        <w:ind w:right="157"/>
        <w:jc w:val="both"/>
      </w:pPr>
    </w:p>
    <w:p w14:paraId="775A812E" w14:textId="77777777" w:rsidR="00402F0C" w:rsidRDefault="00402F0C" w:rsidP="00402F0C">
      <w:pPr>
        <w:rPr>
          <w:sz w:val="24"/>
          <w:szCs w:val="24"/>
        </w:rPr>
      </w:pPr>
      <w:r w:rsidRPr="00402F0C">
        <w:rPr>
          <w:sz w:val="24"/>
          <w:szCs w:val="24"/>
        </w:rPr>
        <w:t xml:space="preserve">Information about our department, including information about these courses, is available on the Department’s website at </w:t>
      </w:r>
      <w:hyperlink r:id="rId6" w:history="1">
        <w:r w:rsidRPr="00402F0C">
          <w:rPr>
            <w:rStyle w:val="Hyperlink"/>
            <w:sz w:val="24"/>
            <w:szCs w:val="24"/>
          </w:rPr>
          <w:t>www.trentu.ca/philosophy</w:t>
        </w:r>
      </w:hyperlink>
      <w:r w:rsidRPr="00402F0C">
        <w:rPr>
          <w:sz w:val="24"/>
          <w:szCs w:val="24"/>
        </w:rPr>
        <w:t xml:space="preserve">. </w:t>
      </w:r>
    </w:p>
    <w:p w14:paraId="17A210BE" w14:textId="77777777" w:rsidR="00D60515" w:rsidRDefault="00D60515" w:rsidP="00402F0C">
      <w:pPr>
        <w:rPr>
          <w:sz w:val="24"/>
          <w:szCs w:val="24"/>
        </w:rPr>
      </w:pPr>
    </w:p>
    <w:p w14:paraId="32D019D8" w14:textId="102A647E" w:rsidR="00E704D0" w:rsidRPr="00D60515" w:rsidRDefault="00D60515" w:rsidP="00D60515">
      <w:pPr>
        <w:rPr>
          <w:sz w:val="24"/>
          <w:szCs w:val="24"/>
        </w:rPr>
      </w:pPr>
      <w:r w:rsidRPr="00D60515">
        <w:rPr>
          <w:color w:val="000000"/>
          <w:sz w:val="24"/>
          <w:szCs w:val="24"/>
        </w:rPr>
        <w:t xml:space="preserve">Candidates are invited to submit applications as a single PDF document to </w:t>
      </w:r>
      <w:hyperlink r:id="rId7" w:history="1">
        <w:r w:rsidR="00E704D0" w:rsidRPr="009D608B">
          <w:rPr>
            <w:rStyle w:val="Hyperlink"/>
            <w:sz w:val="24"/>
            <w:szCs w:val="24"/>
          </w:rPr>
          <w:t>philosophyjobs@trentu.ca</w:t>
        </w:r>
      </w:hyperlink>
      <w:r w:rsidRPr="00D60515">
        <w:rPr>
          <w:sz w:val="24"/>
          <w:szCs w:val="24"/>
        </w:rPr>
        <w:t xml:space="preserve"> </w:t>
      </w:r>
      <w:r w:rsidRPr="00D60515">
        <w:rPr>
          <w:color w:val="000000"/>
          <w:sz w:val="24"/>
          <w:szCs w:val="24"/>
        </w:rPr>
        <w:t>using the subject line: LTA—Durham Philosophy</w:t>
      </w:r>
      <w:r w:rsidR="00D17616">
        <w:rPr>
          <w:color w:val="000000"/>
          <w:sz w:val="24"/>
          <w:szCs w:val="24"/>
        </w:rPr>
        <w:t xml:space="preserve">. </w:t>
      </w:r>
      <w:r w:rsidRPr="00D60515">
        <w:rPr>
          <w:color w:val="000000"/>
          <w:sz w:val="24"/>
          <w:szCs w:val="24"/>
        </w:rPr>
        <w:t xml:space="preserve">Applications should </w:t>
      </w:r>
      <w:r w:rsidRPr="00D60515">
        <w:rPr>
          <w:sz w:val="24"/>
          <w:szCs w:val="24"/>
        </w:rPr>
        <w:t xml:space="preserve">include a covering letter identifying the position for which the candidate is applying and detailing the candidate’s suitability for the position, including the relevance of the </w:t>
      </w:r>
      <w:r w:rsidRPr="00D60515">
        <w:rPr>
          <w:sz w:val="24"/>
          <w:szCs w:val="24"/>
        </w:rPr>
        <w:lastRenderedPageBreak/>
        <w:t xml:space="preserve">candidate’s research and teaching experience; </w:t>
      </w:r>
      <w:r w:rsidRPr="00D60515">
        <w:rPr>
          <w:color w:val="000000"/>
          <w:sz w:val="24"/>
          <w:szCs w:val="24"/>
        </w:rPr>
        <w:t xml:space="preserve">a </w:t>
      </w:r>
      <w:r w:rsidRPr="00D60515">
        <w:rPr>
          <w:i/>
          <w:color w:val="000000"/>
          <w:sz w:val="24"/>
          <w:szCs w:val="24"/>
        </w:rPr>
        <w:t xml:space="preserve">curriculum vitae </w:t>
      </w:r>
      <w:r w:rsidRPr="00D60515">
        <w:rPr>
          <w:sz w:val="24"/>
          <w:szCs w:val="24"/>
        </w:rPr>
        <w:t>(including confirmation to legally work in Canada)</w:t>
      </w:r>
      <w:r w:rsidRPr="00D60515">
        <w:rPr>
          <w:color w:val="000000"/>
          <w:sz w:val="24"/>
          <w:szCs w:val="24"/>
        </w:rPr>
        <w:t>; and evidence of excellence in teaching such as sample syllabuses, a teaching philosophy statement, peer evaluations of teaching, and evidence of professional development. Candidates must also provide the names and contact information of three referees</w:t>
      </w:r>
      <w:r w:rsidR="00E704D0">
        <w:rPr>
          <w:color w:val="000000"/>
          <w:sz w:val="24"/>
          <w:szCs w:val="24"/>
        </w:rPr>
        <w:t xml:space="preserve"> who may be asked to submit reference letters</w:t>
      </w:r>
      <w:r w:rsidRPr="00D60515">
        <w:rPr>
          <w:color w:val="000000"/>
          <w:sz w:val="24"/>
          <w:szCs w:val="24"/>
        </w:rPr>
        <w:t>.</w:t>
      </w:r>
      <w:r w:rsidRPr="00D60515">
        <w:rPr>
          <w:sz w:val="24"/>
          <w:szCs w:val="24"/>
        </w:rPr>
        <w:t xml:space="preserve"> </w:t>
      </w:r>
      <w:bookmarkStart w:id="0" w:name="_Hlk177743274"/>
      <w:r w:rsidR="00E704D0" w:rsidRPr="00E704D0">
        <w:rPr>
          <w:sz w:val="24"/>
          <w:szCs w:val="24"/>
        </w:rPr>
        <w:t xml:space="preserve">Applicants may also submit a </w:t>
      </w:r>
      <w:hyperlink r:id="rId8" w:history="1">
        <w:r w:rsidR="00E704D0" w:rsidRPr="00E704D0">
          <w:rPr>
            <w:rStyle w:val="Hyperlink"/>
            <w:sz w:val="24"/>
            <w:szCs w:val="24"/>
          </w:rPr>
          <w:t>s</w:t>
        </w:r>
        <w:r w:rsidR="00E704D0" w:rsidRPr="00E704D0">
          <w:rPr>
            <w:rStyle w:val="Hyperlink"/>
            <w:sz w:val="24"/>
            <w:szCs w:val="24"/>
          </w:rPr>
          <w:t>e</w:t>
        </w:r>
        <w:r w:rsidR="00E704D0" w:rsidRPr="00E704D0">
          <w:rPr>
            <w:rStyle w:val="Hyperlink"/>
            <w:sz w:val="24"/>
            <w:szCs w:val="24"/>
          </w:rPr>
          <w:t>lf-identification form</w:t>
        </w:r>
      </w:hyperlink>
      <w:r w:rsidR="00E704D0" w:rsidRPr="00E704D0">
        <w:rPr>
          <w:sz w:val="24"/>
          <w:szCs w:val="24"/>
        </w:rPr>
        <w:t xml:space="preserve"> as part of their application package.</w:t>
      </w:r>
      <w:bookmarkEnd w:id="0"/>
    </w:p>
    <w:p w14:paraId="6A97F4AE" w14:textId="77777777" w:rsidR="00D60515" w:rsidRDefault="00D60515" w:rsidP="00D60515">
      <w:pPr>
        <w:rPr>
          <w:sz w:val="24"/>
          <w:szCs w:val="24"/>
        </w:rPr>
      </w:pPr>
    </w:p>
    <w:p w14:paraId="62929ED6" w14:textId="59FE5A1D" w:rsidR="00D60515" w:rsidRDefault="00D60515" w:rsidP="00D60515">
      <w:pPr>
        <w:rPr>
          <w:b/>
          <w:bCs/>
          <w:color w:val="000000"/>
          <w:sz w:val="24"/>
          <w:szCs w:val="24"/>
        </w:rPr>
      </w:pPr>
      <w:r w:rsidRPr="00D60515">
        <w:rPr>
          <w:color w:val="000000"/>
          <w:sz w:val="24"/>
          <w:szCs w:val="24"/>
        </w:rPr>
        <w:t>The committee will begin reviewing applications on</w:t>
      </w:r>
      <w:r w:rsidR="00A2558E">
        <w:rPr>
          <w:b/>
          <w:bCs/>
          <w:color w:val="000000"/>
          <w:sz w:val="24"/>
          <w:szCs w:val="24"/>
        </w:rPr>
        <w:t xml:space="preserve"> Oct</w:t>
      </w:r>
      <w:r w:rsidR="00E704D0">
        <w:rPr>
          <w:b/>
          <w:bCs/>
          <w:color w:val="000000"/>
          <w:sz w:val="24"/>
          <w:szCs w:val="24"/>
        </w:rPr>
        <w:t>ober</w:t>
      </w:r>
      <w:r w:rsidR="00A2558E">
        <w:rPr>
          <w:b/>
          <w:bCs/>
          <w:color w:val="000000"/>
          <w:sz w:val="24"/>
          <w:szCs w:val="24"/>
        </w:rPr>
        <w:t xml:space="preserve"> </w:t>
      </w:r>
      <w:r w:rsidR="005C6C92">
        <w:rPr>
          <w:b/>
          <w:bCs/>
          <w:color w:val="000000"/>
          <w:sz w:val="24"/>
          <w:szCs w:val="24"/>
        </w:rPr>
        <w:t>27th</w:t>
      </w:r>
      <w:r>
        <w:rPr>
          <w:b/>
          <w:bCs/>
          <w:color w:val="000000"/>
          <w:sz w:val="24"/>
          <w:szCs w:val="24"/>
        </w:rPr>
        <w:t>, 2024.</w:t>
      </w:r>
    </w:p>
    <w:p w14:paraId="5C0EA486" w14:textId="77777777" w:rsidR="00E704D0" w:rsidRDefault="00E704D0" w:rsidP="00D60515">
      <w:pPr>
        <w:rPr>
          <w:b/>
          <w:bCs/>
          <w:color w:val="000000"/>
          <w:sz w:val="24"/>
          <w:szCs w:val="24"/>
        </w:rPr>
      </w:pPr>
    </w:p>
    <w:p w14:paraId="4EFD7775" w14:textId="305D3ECC" w:rsidR="00E704D0" w:rsidRPr="00E704D0" w:rsidRDefault="00E704D0" w:rsidP="00D60515">
      <w:pPr>
        <w:rPr>
          <w:color w:val="000000"/>
          <w:sz w:val="24"/>
          <w:szCs w:val="24"/>
        </w:rPr>
      </w:pPr>
      <w:bookmarkStart w:id="1" w:name="_Hlk177743263"/>
      <w:r w:rsidRPr="00E704D0">
        <w:rPr>
          <w:color w:val="000000"/>
          <w:sz w:val="24"/>
          <w:szCs w:val="24"/>
        </w:rPr>
        <w:t>While all applicants are thanked for their interest and applications to this position, only those selected for an interview will be contacted.</w:t>
      </w:r>
    </w:p>
    <w:bookmarkEnd w:id="1"/>
    <w:p w14:paraId="2DE4599A" w14:textId="77777777" w:rsidR="00D60515" w:rsidRPr="00D60515" w:rsidRDefault="00D60515" w:rsidP="00D60515">
      <w:pPr>
        <w:rPr>
          <w:b/>
          <w:bCs/>
          <w:color w:val="000000"/>
          <w:sz w:val="24"/>
          <w:szCs w:val="24"/>
        </w:rPr>
      </w:pPr>
    </w:p>
    <w:p w14:paraId="02544516" w14:textId="31551276" w:rsidR="00D60515" w:rsidRDefault="00D60515" w:rsidP="00D60515">
      <w:pPr>
        <w:rPr>
          <w:bCs/>
          <w:color w:val="000000"/>
          <w:sz w:val="24"/>
          <w:szCs w:val="24"/>
        </w:rPr>
      </w:pPr>
      <w:r w:rsidRPr="00D60515">
        <w:rPr>
          <w:bCs/>
          <w:color w:val="000000"/>
          <w:sz w:val="24"/>
          <w:szCs w:val="24"/>
        </w:rPr>
        <w:t xml:space="preserve">Inquiries can be sent by email to </w:t>
      </w:r>
      <w:r>
        <w:rPr>
          <w:bCs/>
          <w:color w:val="000000"/>
          <w:sz w:val="24"/>
          <w:szCs w:val="24"/>
        </w:rPr>
        <w:t>the Associate Chair, Dr. James Connelly (</w:t>
      </w:r>
      <w:hyperlink r:id="rId9" w:history="1">
        <w:r w:rsidR="0063654C" w:rsidRPr="0003581E">
          <w:rPr>
            <w:rStyle w:val="Hyperlink"/>
            <w:bCs/>
            <w:sz w:val="24"/>
            <w:szCs w:val="24"/>
          </w:rPr>
          <w:t>jamesconnell</w:t>
        </w:r>
        <w:r w:rsidR="0063654C" w:rsidRPr="0003581E">
          <w:rPr>
            <w:rStyle w:val="Hyperlink"/>
            <w:bCs/>
            <w:sz w:val="24"/>
            <w:szCs w:val="24"/>
          </w:rPr>
          <w:t>y</w:t>
        </w:r>
        <w:r w:rsidR="0063654C" w:rsidRPr="0003581E">
          <w:rPr>
            <w:rStyle w:val="Hyperlink"/>
            <w:bCs/>
            <w:sz w:val="24"/>
            <w:szCs w:val="24"/>
          </w:rPr>
          <w:t>@trentu.ca</w:t>
        </w:r>
      </w:hyperlink>
      <w:r>
        <w:rPr>
          <w:bCs/>
          <w:color w:val="000000"/>
          <w:sz w:val="24"/>
          <w:szCs w:val="24"/>
        </w:rPr>
        <w:t>).</w:t>
      </w:r>
    </w:p>
    <w:p w14:paraId="7C55C8C0" w14:textId="77777777" w:rsidR="0063654C" w:rsidRPr="00D60515" w:rsidRDefault="0063654C" w:rsidP="00D60515">
      <w:pPr>
        <w:rPr>
          <w:bCs/>
          <w:color w:val="000000"/>
          <w:sz w:val="24"/>
          <w:szCs w:val="24"/>
        </w:rPr>
      </w:pPr>
    </w:p>
    <w:p w14:paraId="056BA8BE" w14:textId="4ECB763A" w:rsidR="00E704D0" w:rsidRDefault="00D60515" w:rsidP="00D60515">
      <w:pPr>
        <w:rPr>
          <w:rStyle w:val="ui-provider"/>
          <w:sz w:val="24"/>
          <w:szCs w:val="24"/>
        </w:rPr>
      </w:pPr>
      <w:r>
        <w:rPr>
          <w:rStyle w:val="ui-provider"/>
          <w:sz w:val="24"/>
          <w:szCs w:val="24"/>
        </w:rPr>
        <w:t>Trent University is committed to creating a diverse and inclusive campus community. All qualified candidates are encouraged to apply; however, Canadian citizens and permanent residents will be given priority. Preference will be given to candidates from </w:t>
      </w:r>
      <w:r w:rsidR="00D17616">
        <w:rPr>
          <w:rStyle w:val="ui-provider"/>
          <w:sz w:val="24"/>
          <w:szCs w:val="24"/>
        </w:rPr>
        <w:br/>
      </w:r>
      <w:r>
        <w:rPr>
          <w:rStyle w:val="ui-provider"/>
          <w:sz w:val="24"/>
          <w:szCs w:val="24"/>
        </w:rPr>
        <w:t>underrepresent</w:t>
      </w:r>
      <w:r w:rsidR="00D17616">
        <w:rPr>
          <w:rStyle w:val="ui-provider"/>
          <w:sz w:val="24"/>
          <w:szCs w:val="24"/>
        </w:rPr>
        <w:t>e</w:t>
      </w:r>
      <w:r>
        <w:rPr>
          <w:rStyle w:val="ui-provider"/>
          <w:sz w:val="24"/>
          <w:szCs w:val="24"/>
        </w:rPr>
        <w:t xml:space="preserve">d groups including women, Indigenous People (First Nations, Inuit and Métis), persons with disabilities, members of visible minorities, or racialized groups and LGBTQ2+ people. </w:t>
      </w:r>
    </w:p>
    <w:p w14:paraId="2C0ECE72" w14:textId="77777777" w:rsidR="00E704D0" w:rsidRDefault="00E704D0" w:rsidP="00D60515">
      <w:pPr>
        <w:rPr>
          <w:rStyle w:val="ui-provider"/>
          <w:sz w:val="24"/>
          <w:szCs w:val="24"/>
        </w:rPr>
      </w:pPr>
    </w:p>
    <w:p w14:paraId="52FB8176" w14:textId="6C2A881B" w:rsidR="007F50EF" w:rsidRPr="00C4742F" w:rsidRDefault="00E704D0">
      <w:pPr>
        <w:rPr>
          <w:sz w:val="24"/>
          <w:szCs w:val="24"/>
        </w:rPr>
      </w:pPr>
      <w:bookmarkStart w:id="2" w:name="_Hlk177743285"/>
      <w:r w:rsidRPr="00E704D0">
        <w:rPr>
          <w:sz w:val="24"/>
          <w:szCs w:val="24"/>
        </w:rPr>
        <w:t xml:space="preserve">Trent University offers accommodation for applicants with disabilities in its recruitment processes. If you require accommodation during the recruitment process or require an accessible version of a document/publication, please contact </w:t>
      </w:r>
      <w:bookmarkEnd w:id="2"/>
      <w:r w:rsidR="006B2CC1">
        <w:rPr>
          <w:sz w:val="24"/>
          <w:szCs w:val="24"/>
        </w:rPr>
        <w:fldChar w:fldCharType="begin"/>
      </w:r>
      <w:r w:rsidR="006B2CC1">
        <w:rPr>
          <w:sz w:val="24"/>
          <w:szCs w:val="24"/>
        </w:rPr>
        <w:instrText>HYPERLINK "mailto:jamesconnelly@trentu.ca"</w:instrText>
      </w:r>
      <w:r w:rsidR="006B2CC1">
        <w:rPr>
          <w:sz w:val="24"/>
          <w:szCs w:val="24"/>
        </w:rPr>
      </w:r>
      <w:r w:rsidR="006B2CC1">
        <w:rPr>
          <w:sz w:val="24"/>
          <w:szCs w:val="24"/>
        </w:rPr>
        <w:fldChar w:fldCharType="separate"/>
      </w:r>
      <w:r w:rsidR="006B2CC1" w:rsidRPr="009D608B">
        <w:rPr>
          <w:rStyle w:val="Hyperlink"/>
          <w:sz w:val="24"/>
          <w:szCs w:val="24"/>
        </w:rPr>
        <w:t>jamesconnelly@</w:t>
      </w:r>
      <w:r w:rsidR="006B2CC1" w:rsidRPr="009D608B">
        <w:rPr>
          <w:rStyle w:val="Hyperlink"/>
          <w:sz w:val="24"/>
          <w:szCs w:val="24"/>
        </w:rPr>
        <w:t>t</w:t>
      </w:r>
      <w:r w:rsidR="006B2CC1" w:rsidRPr="009D608B">
        <w:rPr>
          <w:rStyle w:val="Hyperlink"/>
          <w:sz w:val="24"/>
          <w:szCs w:val="24"/>
        </w:rPr>
        <w:t>rentu.ca</w:t>
      </w:r>
      <w:r w:rsidR="006B2CC1">
        <w:rPr>
          <w:sz w:val="24"/>
          <w:szCs w:val="24"/>
        </w:rPr>
        <w:fldChar w:fldCharType="end"/>
      </w:r>
      <w:r w:rsidR="00D60515">
        <w:rPr>
          <w:sz w:val="24"/>
          <w:szCs w:val="24"/>
        </w:rPr>
        <w:t>.</w:t>
      </w:r>
      <w:r w:rsidR="00C4742F">
        <w:rPr>
          <w:sz w:val="24"/>
          <w:szCs w:val="24"/>
        </w:rPr>
        <w:t xml:space="preserve"> </w:t>
      </w:r>
    </w:p>
    <w:sectPr w:rsidR="007F50EF" w:rsidRPr="00C4742F" w:rsidSect="00791FE2">
      <w:headerReference w:type="first" r:id="rId10"/>
      <w:pgSz w:w="12240" w:h="15840"/>
      <w:pgMar w:top="1380" w:right="1700" w:bottom="1530" w:left="17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0DCB" w14:textId="77777777" w:rsidR="006B2CC1" w:rsidRDefault="006B2CC1" w:rsidP="006B2CC1">
      <w:r>
        <w:separator/>
      </w:r>
    </w:p>
  </w:endnote>
  <w:endnote w:type="continuationSeparator" w:id="0">
    <w:p w14:paraId="46C566E4" w14:textId="77777777" w:rsidR="006B2CC1" w:rsidRDefault="006B2CC1" w:rsidP="006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B6A87" w14:textId="77777777" w:rsidR="006B2CC1" w:rsidRDefault="006B2CC1" w:rsidP="006B2CC1">
      <w:r>
        <w:separator/>
      </w:r>
    </w:p>
  </w:footnote>
  <w:footnote w:type="continuationSeparator" w:id="0">
    <w:p w14:paraId="2D58916D" w14:textId="77777777" w:rsidR="006B2CC1" w:rsidRDefault="006B2CC1" w:rsidP="006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F1C2" w14:textId="72E30220" w:rsidR="00E704D0" w:rsidRDefault="00E704D0">
    <w:pPr>
      <w:pStyle w:val="Header"/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09D57652" wp14:editId="706E3F2A">
          <wp:simplePos x="0" y="0"/>
          <wp:positionH relativeFrom="margin">
            <wp:posOffset>4337914</wp:posOffset>
          </wp:positionH>
          <wp:positionV relativeFrom="margin">
            <wp:posOffset>-437439</wp:posOffset>
          </wp:positionV>
          <wp:extent cx="1768720" cy="950213"/>
          <wp:effectExtent l="0" t="0" r="3175" b="2540"/>
          <wp:wrapSquare wrapText="bothSides"/>
          <wp:docPr id="104206995" name="Image 1" descr="A black background with blu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720" cy="950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SJtb6bSWugodTZOkcbbZw6MnvGZI2fc6wZu10L3v0KyaSNzXTa/s0MOkqV4PWFQvzZqSKle3b63/6edN0ouAng==" w:salt="v2XWH6P93m8dvvvgvSzuO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9A"/>
    <w:rsid w:val="00065FFF"/>
    <w:rsid w:val="00081B3C"/>
    <w:rsid w:val="000B1D81"/>
    <w:rsid w:val="000F5B17"/>
    <w:rsid w:val="0013385E"/>
    <w:rsid w:val="001A2608"/>
    <w:rsid w:val="00217796"/>
    <w:rsid w:val="00267FB0"/>
    <w:rsid w:val="002B1715"/>
    <w:rsid w:val="002D047C"/>
    <w:rsid w:val="002D2ECF"/>
    <w:rsid w:val="00373575"/>
    <w:rsid w:val="0039414C"/>
    <w:rsid w:val="003C2406"/>
    <w:rsid w:val="00402F0C"/>
    <w:rsid w:val="00403748"/>
    <w:rsid w:val="0042054F"/>
    <w:rsid w:val="004E30E7"/>
    <w:rsid w:val="0052016A"/>
    <w:rsid w:val="00531654"/>
    <w:rsid w:val="00572A30"/>
    <w:rsid w:val="00587D79"/>
    <w:rsid w:val="005A0962"/>
    <w:rsid w:val="005B63BE"/>
    <w:rsid w:val="005C6C92"/>
    <w:rsid w:val="005E3502"/>
    <w:rsid w:val="00610802"/>
    <w:rsid w:val="00617141"/>
    <w:rsid w:val="0063654C"/>
    <w:rsid w:val="00644114"/>
    <w:rsid w:val="006B2CC1"/>
    <w:rsid w:val="006D7D2E"/>
    <w:rsid w:val="006F1E67"/>
    <w:rsid w:val="00720DF8"/>
    <w:rsid w:val="007807A5"/>
    <w:rsid w:val="00791FE2"/>
    <w:rsid w:val="007950A6"/>
    <w:rsid w:val="007D398D"/>
    <w:rsid w:val="007F50EF"/>
    <w:rsid w:val="008A6434"/>
    <w:rsid w:val="008C4267"/>
    <w:rsid w:val="0094154B"/>
    <w:rsid w:val="0098429A"/>
    <w:rsid w:val="009A624A"/>
    <w:rsid w:val="009C4936"/>
    <w:rsid w:val="009D2828"/>
    <w:rsid w:val="009E7A16"/>
    <w:rsid w:val="009F1D9E"/>
    <w:rsid w:val="00A2558E"/>
    <w:rsid w:val="00A572B0"/>
    <w:rsid w:val="00A764A4"/>
    <w:rsid w:val="00AB2D0E"/>
    <w:rsid w:val="00B1100A"/>
    <w:rsid w:val="00B21ADC"/>
    <w:rsid w:val="00B34CC5"/>
    <w:rsid w:val="00B56CA7"/>
    <w:rsid w:val="00B961B7"/>
    <w:rsid w:val="00BE7A14"/>
    <w:rsid w:val="00BF5FFE"/>
    <w:rsid w:val="00C4742F"/>
    <w:rsid w:val="00C92BCA"/>
    <w:rsid w:val="00D00819"/>
    <w:rsid w:val="00D17616"/>
    <w:rsid w:val="00D60515"/>
    <w:rsid w:val="00DB2B8C"/>
    <w:rsid w:val="00DD7188"/>
    <w:rsid w:val="00DE5FBE"/>
    <w:rsid w:val="00DF41F7"/>
    <w:rsid w:val="00E704D0"/>
    <w:rsid w:val="00E75F9D"/>
    <w:rsid w:val="00EE5F81"/>
    <w:rsid w:val="00F31849"/>
    <w:rsid w:val="00F32D1A"/>
    <w:rsid w:val="00FA1634"/>
    <w:rsid w:val="00FF2B44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3E2A3F"/>
  <w15:chartTrackingRefBased/>
  <w15:docId w15:val="{54956E9C-8CE3-476A-98ED-BEEDD22F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8429A"/>
    <w:pPr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2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842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429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429A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98429A"/>
  </w:style>
  <w:style w:type="character" w:styleId="UnresolvedMention">
    <w:name w:val="Unresolved Mention"/>
    <w:basedOn w:val="DefaultParagraphFont"/>
    <w:uiPriority w:val="99"/>
    <w:semiHidden/>
    <w:unhideWhenUsed/>
    <w:rsid w:val="003941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1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7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C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2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CC1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704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ntu.ca/humanresources/sites/trentu.ca.humanresources/files/documents/Self-Identification%20For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ilosophyjobs@trentu.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ntu.ca/philosoph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amesconnelly@trentu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611</Words>
  <Characters>3489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Connelly</dc:creator>
  <cp:keywords/>
  <dc:description/>
  <cp:lastModifiedBy>Sarah Gallen</cp:lastModifiedBy>
  <cp:revision>13</cp:revision>
  <dcterms:created xsi:type="dcterms:W3CDTF">2024-09-12T12:27:00Z</dcterms:created>
  <dcterms:modified xsi:type="dcterms:W3CDTF">2024-09-24T20:51:00Z</dcterms:modified>
</cp:coreProperties>
</file>