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A44BF2F" wp14:paraId="32B787EC" wp14:textId="25F4EF69">
      <w:pPr>
        <w:pStyle w:val="Heading2"/>
        <w:shd w:val="clear" w:color="auto" w:fill="FFFFFF" w:themeFill="background1"/>
        <w:spacing w:before="0" w:beforeAutospacing="off" w:after="120" w:afterAutospacing="off"/>
        <w:jc w:val="left"/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noProof w:val="0"/>
          <w:color w:val="0B2318"/>
          <w:sz w:val="24"/>
          <w:szCs w:val="24"/>
          <w:lang w:val="en-US"/>
        </w:rPr>
      </w:pPr>
      <w:r w:rsidRPr="6A44BF2F" w:rsidR="216993B4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noProof w:val="0"/>
          <w:color w:val="0B2318"/>
          <w:sz w:val="24"/>
          <w:szCs w:val="24"/>
          <w:lang w:val="en-US"/>
        </w:rPr>
        <w:t>Graduate Teaching (GTA) Positions 2024-25</w:t>
      </w:r>
    </w:p>
    <w:p xmlns:wp14="http://schemas.microsoft.com/office/word/2010/wordml" w:rsidP="6A44BF2F" wp14:paraId="6E38BB70" wp14:textId="0B4F4C56">
      <w:pPr>
        <w:shd w:val="clear" w:color="auto" w:fill="FFFFFF" w:themeFill="background1"/>
        <w:spacing w:before="0" w:beforeAutospacing="off" w:after="240" w:afterAutospacing="off"/>
        <w:jc w:val="left"/>
      </w:pPr>
      <w:r w:rsidRPr="6A44BF2F" w:rsidR="216993B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B2318"/>
          <w:sz w:val="24"/>
          <w:szCs w:val="24"/>
          <w:lang w:val="en-US"/>
        </w:rPr>
        <w:t xml:space="preserve">These positions are available for those graduate students who have Graduate Teaching Assistant Funding.  </w:t>
      </w:r>
    </w:p>
    <w:p xmlns:wp14="http://schemas.microsoft.com/office/word/2010/wordml" w:rsidP="6A44BF2F" wp14:paraId="46801A87" wp14:textId="1CA5B986">
      <w:pPr>
        <w:shd w:val="clear" w:color="auto" w:fill="FFFFFF" w:themeFill="background1"/>
        <w:spacing w:before="0" w:beforeAutospacing="off" w:after="240" w:afterAutospacing="off"/>
        <w:jc w:val="left"/>
      </w:pPr>
      <w:r w:rsidRPr="6A44BF2F" w:rsidR="216993B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B2318"/>
          <w:sz w:val="24"/>
          <w:szCs w:val="24"/>
          <w:lang w:val="en-US"/>
        </w:rPr>
        <w:t>Please note that the postings for 2024-25 are conditional pending budgetary approval and enrollment.   Assignments to courses are subject to change until after August 15.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1650"/>
        <w:gridCol w:w="1020"/>
        <w:gridCol w:w="5776"/>
        <w:gridCol w:w="1040"/>
      </w:tblGrid>
      <w:tr w:rsidR="6A44BF2F" w:rsidTr="6A44BF2F" w14:paraId="59917012">
        <w:trPr>
          <w:trHeight w:val="1200"/>
        </w:trPr>
        <w:tc>
          <w:tcPr>
            <w:tcW w:w="165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0A0B5260" w14:textId="744F1A4D">
            <w:pPr>
              <w:spacing w:before="0" w:beforeAutospacing="off" w:after="0" w:afterAutospacing="off"/>
              <w:jc w:val="center"/>
            </w:pPr>
            <w:r w:rsidRPr="6A44BF2F" w:rsidR="6A44BF2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Course Section</w:t>
            </w:r>
          </w:p>
        </w:tc>
        <w:tc>
          <w:tcPr>
            <w:tcW w:w="102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02AE44FE" w14:textId="522560DD">
            <w:pPr>
              <w:spacing w:before="0" w:beforeAutospacing="off" w:after="0" w:afterAutospacing="off"/>
              <w:jc w:val="center"/>
            </w:pPr>
            <w:r w:rsidRPr="6A44BF2F" w:rsidR="6A44BF2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Term </w:t>
            </w:r>
          </w:p>
        </w:tc>
        <w:tc>
          <w:tcPr>
            <w:tcW w:w="5776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3057AAC9" w14:textId="55F88E1E">
            <w:pPr>
              <w:spacing w:before="0" w:beforeAutospacing="off" w:after="0" w:afterAutospacing="off"/>
              <w:jc w:val="center"/>
            </w:pPr>
            <w:r w:rsidRPr="6A44BF2F" w:rsidR="6A44BF2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Course Section Title</w:t>
            </w:r>
          </w:p>
        </w:tc>
        <w:tc>
          <w:tcPr>
            <w:tcW w:w="104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7A8781FD" w14:textId="62F75173">
            <w:pPr>
              <w:spacing w:before="0" w:beforeAutospacing="off" w:after="0" w:afterAutospacing="off"/>
              <w:jc w:val="center"/>
            </w:pPr>
            <w:r w:rsidRPr="6A44BF2F" w:rsidR="6A44BF2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Location</w:t>
            </w:r>
          </w:p>
        </w:tc>
      </w:tr>
      <w:tr w:rsidR="6A44BF2F" w:rsidTr="6A44BF2F" w14:paraId="664BC1F9">
        <w:trPr>
          <w:trHeight w:val="300"/>
        </w:trPr>
        <w:tc>
          <w:tcPr>
            <w:tcW w:w="165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0568BE28" w14:textId="36553F86">
            <w:pPr>
              <w:spacing w:before="0" w:beforeAutospacing="off" w:after="0" w:afterAutospacing="off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FRSC 2030H-A</w:t>
            </w:r>
          </w:p>
        </w:tc>
        <w:tc>
          <w:tcPr>
            <w:tcW w:w="102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6D057BC4" w14:textId="070E3304">
            <w:pPr>
              <w:spacing w:before="0" w:beforeAutospacing="off" w:after="0" w:afterAutospacing="off"/>
              <w:jc w:val="center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2024FA</w:t>
            </w:r>
          </w:p>
        </w:tc>
        <w:tc>
          <w:tcPr>
            <w:tcW w:w="5776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495832AF" w14:textId="75BA5A83">
            <w:pPr>
              <w:spacing w:before="0" w:beforeAutospacing="off" w:after="0" w:afterAutospacing="off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Foundations of Forensic Science</w:t>
            </w:r>
          </w:p>
        </w:tc>
        <w:tc>
          <w:tcPr>
            <w:tcW w:w="104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1D252C43" w14:textId="665C1211">
            <w:pPr>
              <w:spacing w:before="0" w:beforeAutospacing="off" w:after="0" w:afterAutospacing="off"/>
              <w:jc w:val="center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PTBO</w:t>
            </w:r>
          </w:p>
        </w:tc>
      </w:tr>
      <w:tr w:rsidR="6A44BF2F" w:rsidTr="6A44BF2F" w14:paraId="4FF1FA8C">
        <w:trPr>
          <w:trHeight w:val="300"/>
        </w:trPr>
        <w:tc>
          <w:tcPr>
            <w:tcW w:w="165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5BB465FE" w14:textId="341B737E">
            <w:pPr>
              <w:spacing w:before="0" w:beforeAutospacing="off" w:after="0" w:afterAutospacing="off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FRSC 3010H-A</w:t>
            </w:r>
          </w:p>
        </w:tc>
        <w:tc>
          <w:tcPr>
            <w:tcW w:w="102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1078250A" w14:textId="7B0EADE3">
            <w:pPr>
              <w:spacing w:before="0" w:beforeAutospacing="off" w:after="0" w:afterAutospacing="off"/>
              <w:jc w:val="center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2024FA</w:t>
            </w:r>
          </w:p>
        </w:tc>
        <w:tc>
          <w:tcPr>
            <w:tcW w:w="5776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2F156B9C" w14:textId="22E87903">
            <w:pPr>
              <w:spacing w:before="0" w:beforeAutospacing="off" w:after="0" w:afterAutospacing="off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Crime Scene Investigations</w:t>
            </w:r>
          </w:p>
        </w:tc>
        <w:tc>
          <w:tcPr>
            <w:tcW w:w="104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749AF725" w14:textId="681F8D1E">
            <w:pPr>
              <w:spacing w:before="0" w:beforeAutospacing="off" w:after="0" w:afterAutospacing="off"/>
              <w:jc w:val="center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PTBO</w:t>
            </w:r>
          </w:p>
        </w:tc>
      </w:tr>
      <w:tr w:rsidR="6A44BF2F" w:rsidTr="6A44BF2F" w14:paraId="2F1B6A73">
        <w:trPr>
          <w:trHeight w:val="300"/>
        </w:trPr>
        <w:tc>
          <w:tcPr>
            <w:tcW w:w="165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6D9AAD4F" w14:textId="101BBD4E">
            <w:pPr>
              <w:spacing w:before="0" w:beforeAutospacing="off" w:after="0" w:afterAutospacing="off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FRSC 3700H-A</w:t>
            </w:r>
          </w:p>
        </w:tc>
        <w:tc>
          <w:tcPr>
            <w:tcW w:w="102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00184290" w14:textId="6DFC6864">
            <w:pPr>
              <w:spacing w:before="0" w:beforeAutospacing="off" w:after="0" w:afterAutospacing="off"/>
              <w:jc w:val="center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2024FA</w:t>
            </w:r>
          </w:p>
        </w:tc>
        <w:tc>
          <w:tcPr>
            <w:tcW w:w="5776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4710AA3D" w14:textId="7AD730A8">
            <w:pPr>
              <w:spacing w:before="0" w:beforeAutospacing="off" w:after="0" w:afterAutospacing="off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Applied Population Genetics</w:t>
            </w:r>
          </w:p>
        </w:tc>
        <w:tc>
          <w:tcPr>
            <w:tcW w:w="104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2F6C1A9C" w14:textId="56625A55">
            <w:pPr>
              <w:spacing w:before="0" w:beforeAutospacing="off" w:after="0" w:afterAutospacing="off"/>
              <w:jc w:val="center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PTBO</w:t>
            </w:r>
          </w:p>
        </w:tc>
      </w:tr>
      <w:tr w:rsidR="6A44BF2F" w:rsidTr="6A44BF2F" w14:paraId="3463F0A9">
        <w:trPr>
          <w:trHeight w:val="300"/>
        </w:trPr>
        <w:tc>
          <w:tcPr>
            <w:tcW w:w="165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24C37B52" w14:textId="667650F3">
            <w:pPr>
              <w:spacing w:before="0" w:beforeAutospacing="off" w:after="0" w:afterAutospacing="off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FRSC 4730H-A</w:t>
            </w:r>
          </w:p>
        </w:tc>
        <w:tc>
          <w:tcPr>
            <w:tcW w:w="102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301ADCF9" w14:textId="3588DE10">
            <w:pPr>
              <w:spacing w:before="0" w:beforeAutospacing="off" w:after="0" w:afterAutospacing="off"/>
              <w:jc w:val="center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2024FA</w:t>
            </w:r>
          </w:p>
        </w:tc>
        <w:tc>
          <w:tcPr>
            <w:tcW w:w="5776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1B3C2D8E" w14:textId="5DA72DE2">
            <w:pPr>
              <w:spacing w:before="0" w:beforeAutospacing="off" w:after="0" w:afterAutospacing="off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Advanced Topics in Forensic Chemistry</w:t>
            </w:r>
          </w:p>
        </w:tc>
        <w:tc>
          <w:tcPr>
            <w:tcW w:w="104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4FE662BB" w14:textId="17BE33B9">
            <w:pPr>
              <w:spacing w:before="0" w:beforeAutospacing="off" w:after="0" w:afterAutospacing="off"/>
              <w:jc w:val="center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PTBO</w:t>
            </w:r>
          </w:p>
        </w:tc>
      </w:tr>
      <w:tr w:rsidR="6A44BF2F" w:rsidTr="6A44BF2F" w14:paraId="015C6835">
        <w:trPr>
          <w:trHeight w:val="300"/>
        </w:trPr>
        <w:tc>
          <w:tcPr>
            <w:tcW w:w="165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792E4DE7" w14:textId="0EF01094">
            <w:pPr>
              <w:spacing w:before="0" w:beforeAutospacing="off" w:after="0" w:afterAutospacing="off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FRSC 3800H-A</w:t>
            </w:r>
          </w:p>
        </w:tc>
        <w:tc>
          <w:tcPr>
            <w:tcW w:w="102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26C85D38" w14:textId="7EF6AE55">
            <w:pPr>
              <w:spacing w:before="0" w:beforeAutospacing="off" w:after="0" w:afterAutospacing="off"/>
              <w:jc w:val="center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2024FA</w:t>
            </w:r>
          </w:p>
        </w:tc>
        <w:tc>
          <w:tcPr>
            <w:tcW w:w="5776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247EEFE0" w14:textId="47D2FC8B">
            <w:pPr>
              <w:spacing w:before="0" w:beforeAutospacing="off" w:after="0" w:afterAutospacing="off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Forensic Toxicology</w:t>
            </w:r>
          </w:p>
        </w:tc>
        <w:tc>
          <w:tcPr>
            <w:tcW w:w="104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5B29BFDB" w14:textId="19A65C44">
            <w:pPr>
              <w:spacing w:before="0" w:beforeAutospacing="off" w:after="0" w:afterAutospacing="off"/>
              <w:jc w:val="center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PTBO</w:t>
            </w:r>
          </w:p>
        </w:tc>
      </w:tr>
      <w:tr w:rsidR="6A44BF2F" w:rsidTr="6A44BF2F" w14:paraId="569FE0C7">
        <w:trPr>
          <w:trHeight w:val="300"/>
        </w:trPr>
        <w:tc>
          <w:tcPr>
            <w:tcW w:w="165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1351D81A" w14:textId="4937907A">
            <w:pPr>
              <w:spacing w:before="0" w:beforeAutospacing="off" w:after="0" w:afterAutospacing="off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FRSC 4210H-A</w:t>
            </w:r>
          </w:p>
        </w:tc>
        <w:tc>
          <w:tcPr>
            <w:tcW w:w="102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795F0390" w14:textId="5623DE31">
            <w:pPr>
              <w:spacing w:before="0" w:beforeAutospacing="off" w:after="0" w:afterAutospacing="off"/>
              <w:jc w:val="center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2024FA</w:t>
            </w:r>
          </w:p>
        </w:tc>
        <w:tc>
          <w:tcPr>
            <w:tcW w:w="5776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75C82FCF" w14:textId="58ABF7A4">
            <w:pPr>
              <w:spacing w:before="0" w:beforeAutospacing="off" w:after="0" w:afterAutospacing="off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Fingerprint Analysis and Documentation</w:t>
            </w:r>
          </w:p>
        </w:tc>
        <w:tc>
          <w:tcPr>
            <w:tcW w:w="104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0B282E8E" w14:textId="18E255CA">
            <w:pPr>
              <w:spacing w:before="0" w:beforeAutospacing="off" w:after="0" w:afterAutospacing="off"/>
              <w:jc w:val="center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PTBO</w:t>
            </w:r>
          </w:p>
        </w:tc>
      </w:tr>
      <w:tr w:rsidR="6A44BF2F" w:rsidTr="6A44BF2F" w14:paraId="7A59235B">
        <w:trPr>
          <w:trHeight w:val="300"/>
        </w:trPr>
        <w:tc>
          <w:tcPr>
            <w:tcW w:w="165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59C7896F" w14:textId="55B5FC08">
            <w:pPr>
              <w:spacing w:before="0" w:beforeAutospacing="off" w:after="0" w:afterAutospacing="off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FRSC 4570H-A</w:t>
            </w:r>
          </w:p>
        </w:tc>
        <w:tc>
          <w:tcPr>
            <w:tcW w:w="102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3730D748" w14:textId="6423740D">
            <w:pPr>
              <w:spacing w:before="0" w:beforeAutospacing="off" w:after="0" w:afterAutospacing="off"/>
              <w:jc w:val="center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2024FA</w:t>
            </w:r>
          </w:p>
        </w:tc>
        <w:tc>
          <w:tcPr>
            <w:tcW w:w="5776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259322DC" w:rsidP="6A44BF2F" w:rsidRDefault="259322DC" w14:paraId="150B3A23" w14:textId="34D6F72D">
            <w:pPr>
              <w:spacing w:before="0" w:beforeAutospacing="off" w:after="0" w:afterAutospacing="off"/>
            </w:pPr>
            <w:r w:rsidRPr="6A44BF2F" w:rsidR="25932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Microbial Forensics (Formerly </w:t>
            </w: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Biocrime</w:t>
            </w: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&amp; Bioterrorism</w:t>
            </w:r>
            <w:r w:rsidRPr="6A44BF2F" w:rsidR="034A90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)</w:t>
            </w:r>
          </w:p>
        </w:tc>
        <w:tc>
          <w:tcPr>
            <w:tcW w:w="104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169CF4CE" w14:textId="12016CC9">
            <w:pPr>
              <w:spacing w:before="0" w:beforeAutospacing="off" w:after="0" w:afterAutospacing="off"/>
              <w:jc w:val="center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PTBO</w:t>
            </w:r>
          </w:p>
        </w:tc>
      </w:tr>
      <w:tr w:rsidR="6A44BF2F" w:rsidTr="6A44BF2F" w14:paraId="147D6B72">
        <w:trPr>
          <w:trHeight w:val="300"/>
        </w:trPr>
        <w:tc>
          <w:tcPr>
            <w:tcW w:w="165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003145D2" w14:textId="45082998">
            <w:pPr>
              <w:spacing w:before="0" w:beforeAutospacing="off" w:after="0" w:afterAutospacing="off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FRSC 4800H-A</w:t>
            </w:r>
          </w:p>
        </w:tc>
        <w:tc>
          <w:tcPr>
            <w:tcW w:w="102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012DA9DD" w14:textId="0DFA2665">
            <w:pPr>
              <w:spacing w:before="0" w:beforeAutospacing="off" w:after="0" w:afterAutospacing="off"/>
              <w:jc w:val="center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2024FA</w:t>
            </w:r>
          </w:p>
        </w:tc>
        <w:tc>
          <w:tcPr>
            <w:tcW w:w="5776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5BF3D26C" w14:textId="611A3EC6">
            <w:pPr>
              <w:spacing w:before="0" w:beforeAutospacing="off" w:after="0" w:afterAutospacing="off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Bioinformatics</w:t>
            </w:r>
          </w:p>
        </w:tc>
        <w:tc>
          <w:tcPr>
            <w:tcW w:w="104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1C4FDCC6" w14:textId="29F35E5A">
            <w:pPr>
              <w:spacing w:before="0" w:beforeAutospacing="off" w:after="0" w:afterAutospacing="off"/>
              <w:jc w:val="center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PTBO</w:t>
            </w:r>
          </w:p>
        </w:tc>
      </w:tr>
      <w:tr w:rsidR="6A44BF2F" w:rsidTr="6A44BF2F" w14:paraId="2902C3DF">
        <w:trPr>
          <w:trHeight w:val="300"/>
        </w:trPr>
        <w:tc>
          <w:tcPr>
            <w:tcW w:w="165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5E51CFAF" w14:textId="6F128861">
            <w:pPr>
              <w:spacing w:before="0" w:beforeAutospacing="off" w:after="0" w:afterAutospacing="off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FRSC 3730H-A</w:t>
            </w:r>
          </w:p>
        </w:tc>
        <w:tc>
          <w:tcPr>
            <w:tcW w:w="102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3350EB38" w14:textId="38331BF4">
            <w:pPr>
              <w:spacing w:before="0" w:beforeAutospacing="off" w:after="0" w:afterAutospacing="off"/>
              <w:jc w:val="center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2024FA</w:t>
            </w:r>
          </w:p>
        </w:tc>
        <w:tc>
          <w:tcPr>
            <w:tcW w:w="5776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51E8ED71" w14:textId="72FE7522">
            <w:pPr>
              <w:spacing w:before="0" w:beforeAutospacing="off" w:after="0" w:afterAutospacing="off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Forensic Chemistry</w:t>
            </w:r>
          </w:p>
        </w:tc>
        <w:tc>
          <w:tcPr>
            <w:tcW w:w="104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612150A0" w14:textId="53031CDD">
            <w:pPr>
              <w:spacing w:before="0" w:beforeAutospacing="off" w:after="0" w:afterAutospacing="off"/>
              <w:jc w:val="center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PTBO</w:t>
            </w:r>
          </w:p>
        </w:tc>
      </w:tr>
      <w:tr w:rsidR="6A44BF2F" w:rsidTr="6A44BF2F" w14:paraId="0D8F43C8">
        <w:trPr>
          <w:trHeight w:val="300"/>
        </w:trPr>
        <w:tc>
          <w:tcPr>
            <w:tcW w:w="165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67F3BB81" w14:textId="23675EC1">
            <w:pPr>
              <w:spacing w:before="0" w:beforeAutospacing="off" w:after="0" w:afterAutospacing="off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FRSC 4010Y-A</w:t>
            </w:r>
          </w:p>
        </w:tc>
        <w:tc>
          <w:tcPr>
            <w:tcW w:w="102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60F71ABF" w14:textId="00A4A5D8">
            <w:pPr>
              <w:spacing w:before="0" w:beforeAutospacing="off" w:after="0" w:afterAutospacing="off"/>
              <w:jc w:val="center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2024FW</w:t>
            </w:r>
          </w:p>
        </w:tc>
        <w:tc>
          <w:tcPr>
            <w:tcW w:w="5776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03E85C1A" w14:textId="77917DF3">
            <w:pPr>
              <w:spacing w:before="0" w:beforeAutospacing="off" w:after="0" w:afterAutospacing="off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Independent Project</w:t>
            </w:r>
          </w:p>
        </w:tc>
        <w:tc>
          <w:tcPr>
            <w:tcW w:w="104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2C5DFE16" w14:textId="19D7DD3B">
            <w:pPr>
              <w:spacing w:before="0" w:beforeAutospacing="off" w:after="0" w:afterAutospacing="off"/>
              <w:jc w:val="center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PTBO</w:t>
            </w:r>
          </w:p>
        </w:tc>
      </w:tr>
      <w:tr w:rsidR="6A44BF2F" w:rsidTr="6A44BF2F" w14:paraId="7DAECB99">
        <w:trPr>
          <w:trHeight w:val="300"/>
        </w:trPr>
        <w:tc>
          <w:tcPr>
            <w:tcW w:w="165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2C76FF99" w14:textId="7C200464">
            <w:pPr>
              <w:spacing w:before="0" w:beforeAutospacing="off" w:after="0" w:afterAutospacing="off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FRSC 1011H-A</w:t>
            </w:r>
          </w:p>
        </w:tc>
        <w:tc>
          <w:tcPr>
            <w:tcW w:w="102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3D2CF3EF" w14:textId="4DBE928A">
            <w:pPr>
              <w:spacing w:before="0" w:beforeAutospacing="off" w:after="0" w:afterAutospacing="off"/>
              <w:jc w:val="center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2025WI</w:t>
            </w:r>
          </w:p>
        </w:tc>
        <w:tc>
          <w:tcPr>
            <w:tcW w:w="5776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6D000871" w14:textId="581400B0">
            <w:pPr>
              <w:spacing w:before="0" w:beforeAutospacing="off" w:after="0" w:afterAutospacing="off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Introduction to Crime Scene Investigation</w:t>
            </w:r>
          </w:p>
        </w:tc>
        <w:tc>
          <w:tcPr>
            <w:tcW w:w="104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5FE8D279" w14:textId="55688927">
            <w:pPr>
              <w:spacing w:before="0" w:beforeAutospacing="off" w:after="0" w:afterAutospacing="off"/>
              <w:jc w:val="center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PTBO</w:t>
            </w:r>
          </w:p>
        </w:tc>
      </w:tr>
      <w:tr w:rsidR="6A44BF2F" w:rsidTr="6A44BF2F" w14:paraId="2EFE07DF">
        <w:trPr>
          <w:trHeight w:val="300"/>
        </w:trPr>
        <w:tc>
          <w:tcPr>
            <w:tcW w:w="165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33D6C9C7" w14:textId="6CD0A639">
            <w:pPr>
              <w:spacing w:before="0" w:beforeAutospacing="off" w:after="0" w:afterAutospacing="off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FRSC 3110H-A</w:t>
            </w:r>
          </w:p>
        </w:tc>
        <w:tc>
          <w:tcPr>
            <w:tcW w:w="102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438F155C" w14:textId="28553FBC">
            <w:pPr>
              <w:spacing w:before="0" w:beforeAutospacing="off" w:after="0" w:afterAutospacing="off"/>
              <w:jc w:val="center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2025WI</w:t>
            </w:r>
          </w:p>
        </w:tc>
        <w:tc>
          <w:tcPr>
            <w:tcW w:w="5776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7F732D0F" w14:textId="760AD2D6">
            <w:pPr>
              <w:spacing w:before="0" w:beforeAutospacing="off" w:after="0" w:afterAutospacing="off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Criminology in Forensics</w:t>
            </w:r>
          </w:p>
        </w:tc>
        <w:tc>
          <w:tcPr>
            <w:tcW w:w="104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4B9FD2D1" w14:textId="677D84D4">
            <w:pPr>
              <w:spacing w:before="0" w:beforeAutospacing="off" w:after="0" w:afterAutospacing="off"/>
              <w:jc w:val="center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PTBO</w:t>
            </w:r>
          </w:p>
        </w:tc>
      </w:tr>
      <w:tr w:rsidR="6A44BF2F" w:rsidTr="6A44BF2F" w14:paraId="75AA404E">
        <w:trPr>
          <w:trHeight w:val="300"/>
        </w:trPr>
        <w:tc>
          <w:tcPr>
            <w:tcW w:w="165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3BE1B2B0" w14:textId="026DFE3D">
            <w:pPr>
              <w:spacing w:before="0" w:beforeAutospacing="off" w:after="0" w:afterAutospacing="off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FRSC 3111H-A</w:t>
            </w:r>
          </w:p>
        </w:tc>
        <w:tc>
          <w:tcPr>
            <w:tcW w:w="102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7BEA91EF" w14:textId="14BD6938">
            <w:pPr>
              <w:spacing w:before="0" w:beforeAutospacing="off" w:after="0" w:afterAutospacing="off"/>
              <w:jc w:val="center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2025WI</w:t>
            </w:r>
          </w:p>
        </w:tc>
        <w:tc>
          <w:tcPr>
            <w:tcW w:w="5776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33AC71D2" w14:textId="54590DBA">
            <w:pPr>
              <w:spacing w:before="0" w:beforeAutospacing="off" w:after="0" w:afterAutospacing="off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Wildlife DNA Forensics</w:t>
            </w:r>
          </w:p>
        </w:tc>
        <w:tc>
          <w:tcPr>
            <w:tcW w:w="104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64E4B640" w14:textId="6F25F28E">
            <w:pPr>
              <w:spacing w:before="0" w:beforeAutospacing="off" w:after="0" w:afterAutospacing="off"/>
              <w:jc w:val="center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PTBO</w:t>
            </w:r>
          </w:p>
        </w:tc>
      </w:tr>
      <w:tr w:rsidR="6A44BF2F" w:rsidTr="6A44BF2F" w14:paraId="7A0D9F42">
        <w:trPr>
          <w:trHeight w:val="300"/>
        </w:trPr>
        <w:tc>
          <w:tcPr>
            <w:tcW w:w="165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119E4E77" w14:textId="32DCD556">
            <w:pPr>
              <w:spacing w:before="0" w:beforeAutospacing="off" w:after="0" w:afterAutospacing="off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FRSC 4380H-A</w:t>
            </w:r>
          </w:p>
        </w:tc>
        <w:tc>
          <w:tcPr>
            <w:tcW w:w="102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590095AA" w14:textId="0D6E05B9">
            <w:pPr>
              <w:spacing w:before="0" w:beforeAutospacing="off" w:after="0" w:afterAutospacing="off"/>
              <w:jc w:val="center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2025WI</w:t>
            </w:r>
          </w:p>
        </w:tc>
        <w:tc>
          <w:tcPr>
            <w:tcW w:w="5776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034E6EC5" w14:textId="3A323497">
            <w:pPr>
              <w:spacing w:before="0" w:beforeAutospacing="off" w:after="0" w:afterAutospacing="off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Advanced Topics in Law &amp; Policing</w:t>
            </w:r>
          </w:p>
        </w:tc>
        <w:tc>
          <w:tcPr>
            <w:tcW w:w="104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485ACC6F" w14:textId="1193B8DC">
            <w:pPr>
              <w:spacing w:before="0" w:beforeAutospacing="off" w:after="0" w:afterAutospacing="off"/>
              <w:jc w:val="center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PTBO</w:t>
            </w:r>
          </w:p>
        </w:tc>
      </w:tr>
      <w:tr w:rsidR="6A44BF2F" w:rsidTr="6A44BF2F" w14:paraId="3849CB70">
        <w:trPr>
          <w:trHeight w:val="300"/>
        </w:trPr>
        <w:tc>
          <w:tcPr>
            <w:tcW w:w="165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4DBB1279" w14:textId="6B72C737">
            <w:pPr>
              <w:spacing w:before="0" w:beforeAutospacing="off" w:after="0" w:afterAutospacing="off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FRSC 4600H-A</w:t>
            </w:r>
          </w:p>
        </w:tc>
        <w:tc>
          <w:tcPr>
            <w:tcW w:w="102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6174D217" w14:textId="64007961">
            <w:pPr>
              <w:spacing w:before="0" w:beforeAutospacing="off" w:after="0" w:afterAutospacing="off"/>
              <w:jc w:val="center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2025WI</w:t>
            </w:r>
          </w:p>
        </w:tc>
        <w:tc>
          <w:tcPr>
            <w:tcW w:w="5776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15090256" w14:textId="4D941A4B">
            <w:pPr>
              <w:spacing w:before="0" w:beforeAutospacing="off" w:after="0" w:afterAutospacing="off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Applied Molecular Genetics</w:t>
            </w:r>
          </w:p>
        </w:tc>
        <w:tc>
          <w:tcPr>
            <w:tcW w:w="104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1D8D24C1" w14:textId="0B365ED3">
            <w:pPr>
              <w:spacing w:before="0" w:beforeAutospacing="off" w:after="0" w:afterAutospacing="off"/>
              <w:jc w:val="center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PTBO</w:t>
            </w:r>
          </w:p>
        </w:tc>
      </w:tr>
      <w:tr w:rsidR="6A44BF2F" w:rsidTr="6A44BF2F" w14:paraId="398F6AF8">
        <w:trPr>
          <w:trHeight w:val="300"/>
        </w:trPr>
        <w:tc>
          <w:tcPr>
            <w:tcW w:w="165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11E027D2" w14:textId="79FD1969">
            <w:pPr>
              <w:spacing w:before="0" w:beforeAutospacing="off" w:after="0" w:afterAutospacing="off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FRSC-4610H-A</w:t>
            </w:r>
          </w:p>
        </w:tc>
        <w:tc>
          <w:tcPr>
            <w:tcW w:w="102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38FB48CB" w14:textId="51EC29BD">
            <w:pPr>
              <w:spacing w:before="0" w:beforeAutospacing="off" w:after="0" w:afterAutospacing="off"/>
              <w:jc w:val="center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2025WI</w:t>
            </w:r>
          </w:p>
        </w:tc>
        <w:tc>
          <w:tcPr>
            <w:tcW w:w="5776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691E9726" w14:textId="4932A8D4">
            <w:pPr>
              <w:spacing w:before="0" w:beforeAutospacing="off" w:after="0" w:afterAutospacing="off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Environmental Forensic Toxicology</w:t>
            </w:r>
          </w:p>
        </w:tc>
        <w:tc>
          <w:tcPr>
            <w:tcW w:w="104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7C3C4C0A" w14:textId="48122229">
            <w:pPr>
              <w:spacing w:before="0" w:beforeAutospacing="off" w:after="0" w:afterAutospacing="off"/>
              <w:jc w:val="center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PTBO</w:t>
            </w:r>
          </w:p>
        </w:tc>
      </w:tr>
      <w:tr w:rsidR="6A44BF2F" w:rsidTr="6A44BF2F" w14:paraId="16BE3D2F">
        <w:trPr>
          <w:trHeight w:val="300"/>
        </w:trPr>
        <w:tc>
          <w:tcPr>
            <w:tcW w:w="165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7178C121" w14:textId="2B4321BE">
            <w:pPr>
              <w:spacing w:before="0" w:beforeAutospacing="off" w:after="0" w:afterAutospacing="off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FRSC-4100-A</w:t>
            </w:r>
          </w:p>
        </w:tc>
        <w:tc>
          <w:tcPr>
            <w:tcW w:w="102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0C6A299C" w14:textId="0167414B">
            <w:pPr>
              <w:spacing w:before="0" w:beforeAutospacing="off" w:after="0" w:afterAutospacing="off"/>
              <w:jc w:val="center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2025WI</w:t>
            </w:r>
          </w:p>
        </w:tc>
        <w:tc>
          <w:tcPr>
            <w:tcW w:w="5776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2368DDA5" w14:textId="7133EFEA">
            <w:pPr>
              <w:spacing w:before="0" w:beforeAutospacing="off" w:after="0" w:afterAutospacing="off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Science and [In]Justice</w:t>
            </w:r>
          </w:p>
        </w:tc>
        <w:tc>
          <w:tcPr>
            <w:tcW w:w="1040" w:type="dxa"/>
            <w:tcBorders>
              <w:top w:val="single" w:color="D9D9D9" w:themeColor="background1" w:themeShade="D9" w:sz="8"/>
              <w:left w:val="single" w:color="D9D9D9" w:themeColor="background1" w:themeShade="D9" w:sz="8"/>
              <w:bottom w:val="single" w:color="D9D9D9" w:themeColor="background1" w:themeShade="D9" w:sz="8"/>
              <w:right w:val="single" w:color="D9D9D9" w:themeColor="background1" w:themeShade="D9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6A44BF2F" w:rsidP="6A44BF2F" w:rsidRDefault="6A44BF2F" w14:paraId="570D19CB" w14:textId="16CEA883">
            <w:pPr>
              <w:spacing w:before="0" w:beforeAutospacing="off" w:after="0" w:afterAutospacing="off"/>
              <w:jc w:val="center"/>
            </w:pPr>
            <w:r w:rsidRPr="6A44BF2F" w:rsidR="6A44B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PTBO</w:t>
            </w:r>
          </w:p>
        </w:tc>
      </w:tr>
    </w:tbl>
    <w:p xmlns:wp14="http://schemas.microsoft.com/office/word/2010/wordml" w:rsidP="6A44BF2F" wp14:paraId="58DA63F7" wp14:textId="7CAF3DB7">
      <w:pPr>
        <w:pStyle w:val="Normal"/>
        <w:shd w:val="clear" w:color="auto" w:fill="FFFFFF" w:themeFill="background1"/>
        <w:spacing w:before="0" w:beforeAutospacing="off" w:after="240" w:afterAutospacing="off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B2318"/>
          <w:sz w:val="24"/>
          <w:szCs w:val="24"/>
          <w:lang w:val="en-US"/>
        </w:rPr>
      </w:pPr>
    </w:p>
    <w:p xmlns:wp14="http://schemas.microsoft.com/office/word/2010/wordml" w:rsidP="246A668C" wp14:paraId="3879B3CE" wp14:textId="50E1CD83">
      <w:pPr>
        <w:shd w:val="clear" w:color="auto" w:fill="FFFFFF" w:themeFill="background1"/>
        <w:spacing w:before="0" w:beforeAutospacing="off" w:after="240" w:afterAutospacing="off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B2318"/>
          <w:sz w:val="24"/>
          <w:szCs w:val="24"/>
          <w:lang w:val="en-US"/>
        </w:rPr>
      </w:pPr>
      <w:r w:rsidRPr="246A668C" w:rsidR="216993B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B2318"/>
          <w:sz w:val="24"/>
          <w:szCs w:val="24"/>
          <w:lang w:val="en-US"/>
        </w:rPr>
        <w:t xml:space="preserve">Application Procedure (as per CUPE 2 collective agreement): All GTAs </w:t>
      </w:r>
      <w:r w:rsidRPr="246A668C" w:rsidR="216993B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B2318"/>
          <w:sz w:val="24"/>
          <w:szCs w:val="24"/>
          <w:lang w:val="en-US"/>
        </w:rPr>
        <w:t>are required to</w:t>
      </w:r>
      <w:r w:rsidRPr="246A668C" w:rsidR="216993B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B2318"/>
          <w:sz w:val="24"/>
          <w:szCs w:val="24"/>
          <w:lang w:val="en-US"/>
        </w:rPr>
        <w:t xml:space="preserve"> </w:t>
      </w:r>
      <w:r w:rsidRPr="246A668C" w:rsidR="216993B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B2318"/>
          <w:sz w:val="24"/>
          <w:szCs w:val="24"/>
          <w:lang w:val="en-US"/>
        </w:rPr>
        <w:t>submit</w:t>
      </w:r>
      <w:r w:rsidRPr="246A668C" w:rsidR="216993B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B2318"/>
          <w:sz w:val="24"/>
          <w:szCs w:val="24"/>
          <w:lang w:val="en-US"/>
        </w:rPr>
        <w:t xml:space="preserve"> an up-to-date CV and cover letter that will serve as a statement of interest for their preferred courses -- please ensure a fall and winter course are </w:t>
      </w:r>
      <w:r w:rsidRPr="246A668C" w:rsidR="216993B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B2318"/>
          <w:sz w:val="24"/>
          <w:szCs w:val="24"/>
          <w:lang w:val="en-US"/>
        </w:rPr>
        <w:t>indicated</w:t>
      </w:r>
      <w:r w:rsidRPr="246A668C" w:rsidR="216993B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B2318"/>
          <w:sz w:val="24"/>
          <w:szCs w:val="24"/>
          <w:lang w:val="en-US"/>
        </w:rPr>
        <w:t xml:space="preserve">. Returning Graduate Teaching Assistants will have until </w:t>
      </w:r>
      <w:r w:rsidRPr="246A668C" w:rsidR="7EB4A0B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B2318"/>
          <w:sz w:val="24"/>
          <w:szCs w:val="24"/>
          <w:lang w:val="en-US"/>
        </w:rPr>
        <w:t>August 1st</w:t>
      </w:r>
      <w:r w:rsidRPr="246A668C" w:rsidR="216993B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B2318"/>
          <w:sz w:val="24"/>
          <w:szCs w:val="24"/>
          <w:lang w:val="en-US"/>
        </w:rPr>
        <w:t xml:space="preserve"> to </w:t>
      </w:r>
      <w:r w:rsidRPr="246A668C" w:rsidR="216993B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B2318"/>
          <w:sz w:val="24"/>
          <w:szCs w:val="24"/>
          <w:lang w:val="en-US"/>
        </w:rPr>
        <w:t>indicate</w:t>
      </w:r>
      <w:r w:rsidRPr="246A668C" w:rsidR="216993B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B2318"/>
          <w:sz w:val="24"/>
          <w:szCs w:val="24"/>
          <w:lang w:val="en-US"/>
        </w:rPr>
        <w:t xml:space="preserve"> preferred courses, after which remaining courses will be assigned to the incoming GTAs. Please have applications in by </w:t>
      </w:r>
      <w:r w:rsidRPr="246A668C" w:rsidR="2737765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B2318"/>
          <w:sz w:val="24"/>
          <w:szCs w:val="24"/>
          <w:lang w:val="en-US"/>
        </w:rPr>
        <w:t>August</w:t>
      </w:r>
      <w:r w:rsidRPr="246A668C" w:rsidR="216993B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B2318"/>
          <w:sz w:val="24"/>
          <w:szCs w:val="24"/>
          <w:lang w:val="en-US"/>
        </w:rPr>
        <w:t xml:space="preserve"> 1, 2024</w:t>
      </w:r>
      <w:r w:rsidRPr="246A668C" w:rsidR="762E9AD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B2318"/>
          <w:sz w:val="24"/>
          <w:szCs w:val="24"/>
          <w:lang w:val="en-US"/>
        </w:rPr>
        <w:t>.</w:t>
      </w:r>
      <w:r w:rsidRPr="246A668C" w:rsidR="216993B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B2318"/>
          <w:sz w:val="24"/>
          <w:szCs w:val="24"/>
          <w:lang w:val="en-US"/>
        </w:rPr>
        <w:t xml:space="preserve">  </w:t>
      </w:r>
      <w:r w:rsidRPr="246A668C" w:rsidR="216993B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B2318"/>
          <w:sz w:val="24"/>
          <w:szCs w:val="24"/>
          <w:lang w:val="en-US"/>
        </w:rPr>
        <w:t>Applications should be sent to</w:t>
      </w:r>
      <w:r w:rsidRPr="246A668C" w:rsidR="043493E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B2318"/>
          <w:sz w:val="24"/>
          <w:szCs w:val="24"/>
          <w:lang w:val="en-US"/>
        </w:rPr>
        <w:t xml:space="preserve"> </w:t>
      </w:r>
      <w:hyperlink r:id="Rbd97fe4261c04c50">
        <w:r w:rsidRPr="246A668C" w:rsidR="043493EF">
          <w:rPr>
            <w:rStyle w:val="Hyperlink"/>
            <w:rFonts w:ascii="Aptos" w:hAnsi="Aptos" w:eastAsia="Aptos" w:cs="Aptos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forensicsciencejobs@trentu.ca</w:t>
        </w:r>
      </w:hyperlink>
      <w:r w:rsidRPr="246A668C" w:rsidR="216993B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B2318"/>
          <w:sz w:val="24"/>
          <w:szCs w:val="24"/>
          <w:lang w:val="en-US"/>
        </w:rPr>
        <w:t xml:space="preserve">, attention Dr. </w:t>
      </w:r>
      <w:r w:rsidRPr="246A668C" w:rsidR="765995B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B2318"/>
          <w:sz w:val="24"/>
          <w:szCs w:val="24"/>
          <w:lang w:val="en-US"/>
        </w:rPr>
        <w:t>Aaron Shafer, Chair, Department of Forensic Science</w:t>
      </w:r>
      <w:r w:rsidRPr="246A668C" w:rsidR="216993B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B2318"/>
          <w:sz w:val="24"/>
          <w:szCs w:val="24"/>
          <w:lang w:val="en-US"/>
        </w:rPr>
        <w:t>.</w:t>
      </w:r>
    </w:p>
    <w:p xmlns:wp14="http://schemas.microsoft.com/office/word/2010/wordml" w:rsidP="6A44BF2F" wp14:paraId="4D6C49B2" wp14:textId="51203D9B">
      <w:pPr>
        <w:pStyle w:val="Normal"/>
        <w:shd w:val="clear" w:color="auto" w:fill="FFFFFF" w:themeFill="background1"/>
        <w:spacing w:before="0" w:beforeAutospacing="off" w:after="240" w:afterAutospacing="off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B2318"/>
          <w:sz w:val="24"/>
          <w:szCs w:val="24"/>
          <w:lang w:val="en-US"/>
        </w:rPr>
      </w:pPr>
    </w:p>
    <w:p xmlns:wp14="http://schemas.microsoft.com/office/word/2010/wordml" w:rsidP="6A44BF2F" wp14:paraId="2C078E63" wp14:textId="062C6D1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27D87E"/>
    <w:rsid w:val="034A904A"/>
    <w:rsid w:val="043493EF"/>
    <w:rsid w:val="0B05A5FA"/>
    <w:rsid w:val="0E5560A0"/>
    <w:rsid w:val="16E3230B"/>
    <w:rsid w:val="216993B4"/>
    <w:rsid w:val="246A668C"/>
    <w:rsid w:val="259322DC"/>
    <w:rsid w:val="2737765B"/>
    <w:rsid w:val="2B27D87E"/>
    <w:rsid w:val="2F3E06F5"/>
    <w:rsid w:val="31AF82DE"/>
    <w:rsid w:val="43D0409C"/>
    <w:rsid w:val="43F0077E"/>
    <w:rsid w:val="484497C0"/>
    <w:rsid w:val="57264F98"/>
    <w:rsid w:val="57264F98"/>
    <w:rsid w:val="6A44BF2F"/>
    <w:rsid w:val="70973F07"/>
    <w:rsid w:val="70973F07"/>
    <w:rsid w:val="7315F524"/>
    <w:rsid w:val="762E9ADD"/>
    <w:rsid w:val="765995B9"/>
    <w:rsid w:val="7EB4A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7D87E"/>
  <w15:chartTrackingRefBased/>
  <w15:docId w15:val="{CF253481-1A43-44DA-8895-6718339823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forensicsciencejobs@trentu.ca" TargetMode="External" Id="Rbd97fe4261c04c50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2024-05-15T19:03:16.7070570Z</dcterms:created>
  <dcterms:modified xsi:type="dcterms:W3CDTF">2024-05-21T16:05:09.5790347Z</dcterms:modified>
  <dc:creator>Sylvie Johnston</dc:creator>
  <lastModifiedBy>Sylvie Johnston</lastModifiedBy>
</coreProperties>
</file>